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FOMENTO À PROGRAMAÇÃO DE ESPAÇOS, AMBIENTES E INICIATIVAS ARTÍSTICO CULTURAIS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0F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1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11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12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